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horzAnchor="margin" w:tblpXSpec="right" w:tblpY="-397"/>
        <w:tblW w:w="1796" w:type="pct"/>
        <w:tblCellSpacing w:w="22" w:type="dxa"/>
        <w:tblCellMar>
          <w:top w:w="30" w:type="dxa"/>
          <w:left w:w="30" w:type="dxa"/>
          <w:bottom w:w="30" w:type="dxa"/>
          <w:right w:w="30" w:type="dxa"/>
        </w:tblCellMar>
        <w:tblLook w:val="04A0" w:firstRow="1" w:lastRow="0" w:firstColumn="1" w:lastColumn="0" w:noHBand="0" w:noVBand="1"/>
      </w:tblPr>
      <w:tblGrid>
        <w:gridCol w:w="5787"/>
      </w:tblGrid>
      <w:tr w:rsidR="00425941" w:rsidRPr="00E97352" w:rsidTr="00425941">
        <w:trPr>
          <w:trHeight w:val="389"/>
          <w:tblCellSpacing w:w="22" w:type="dxa"/>
        </w:trPr>
        <w:tc>
          <w:tcPr>
            <w:tcW w:w="4915" w:type="pct"/>
          </w:tcPr>
          <w:p w:rsidR="00425941" w:rsidRPr="00425941" w:rsidRDefault="00425941" w:rsidP="00425941">
            <w:pPr>
              <w:pStyle w:val="a3"/>
              <w:rPr>
                <w:sz w:val="20"/>
                <w:szCs w:val="20"/>
                <w:lang w:val="uk-UA"/>
              </w:rPr>
            </w:pPr>
            <w:bookmarkStart w:id="0" w:name="_GoBack"/>
            <w:bookmarkEnd w:id="0"/>
            <w:r w:rsidRPr="00425941">
              <w:rPr>
                <w:sz w:val="20"/>
                <w:szCs w:val="20"/>
              </w:rPr>
              <w:t>Додаток 7</w:t>
            </w:r>
            <w:r w:rsidRPr="00425941">
              <w:rPr>
                <w:sz w:val="20"/>
                <w:szCs w:val="20"/>
              </w:rPr>
              <w:br/>
              <w:t>до Положення про розкриття інформації емітентами цінних паперів (пункти 8 - 10 глави 1 розділу III)</w:t>
            </w:r>
          </w:p>
        </w:tc>
      </w:tr>
    </w:tbl>
    <w:p w:rsidR="0022295C" w:rsidRPr="00727766" w:rsidRDefault="0022295C" w:rsidP="0060200C">
      <w:pPr>
        <w:pStyle w:val="a3"/>
        <w:ind w:firstLine="567"/>
        <w:jc w:val="center"/>
        <w:rPr>
          <w:b/>
          <w:lang w:val="en-US"/>
        </w:rPr>
      </w:pPr>
      <w:r w:rsidRPr="00E97352">
        <w:rPr>
          <w:sz w:val="20"/>
          <w:szCs w:val="20"/>
          <w:lang w:val="uk-UA"/>
        </w:rPr>
        <w:br w:type="textWrapping" w:clear="all"/>
      </w:r>
      <w:r w:rsidR="0091365F" w:rsidRPr="0091365F">
        <w:rPr>
          <w:b/>
          <w:lang w:val="uk-UA"/>
        </w:rPr>
        <w:t xml:space="preserve">                            </w:t>
      </w:r>
      <w:r w:rsidR="00150E58">
        <w:rPr>
          <w:b/>
          <w:lang w:val="en-US"/>
        </w:rPr>
        <w:t>1. Відомості про зміну акціонерів, яким належать голосуючі акції, розмір пакета яких стає більшим, меншим або рівним пороговому значенню пакета акцій</w:t>
      </w:r>
    </w:p>
    <w:tbl>
      <w:tblPr>
        <w:tblW w:w="490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3"/>
        <w:gridCol w:w="2222"/>
        <w:gridCol w:w="3843"/>
        <w:gridCol w:w="4488"/>
        <w:gridCol w:w="2064"/>
        <w:gridCol w:w="2073"/>
      </w:tblGrid>
      <w:tr w:rsidR="00265E90" w:rsidRPr="00E97352">
        <w:tc>
          <w:tcPr>
            <w:tcW w:w="352" w:type="pct"/>
            <w:tcBorders>
              <w:top w:val="outset" w:sz="6" w:space="0" w:color="auto"/>
              <w:left w:val="outset" w:sz="6" w:space="0" w:color="auto"/>
              <w:bottom w:val="outset" w:sz="6" w:space="0" w:color="auto"/>
              <w:right w:val="outset" w:sz="6" w:space="0" w:color="auto"/>
            </w:tcBorders>
            <w:vAlign w:val="center"/>
          </w:tcPr>
          <w:p w:rsidR="00265E90" w:rsidRPr="0091365F" w:rsidRDefault="00265E90" w:rsidP="0091365F">
            <w:pPr>
              <w:pStyle w:val="a3"/>
              <w:jc w:val="center"/>
              <w:rPr>
                <w:b/>
                <w:sz w:val="20"/>
                <w:szCs w:val="20"/>
                <w:lang w:val="uk-UA"/>
              </w:rPr>
            </w:pPr>
            <w:r w:rsidRPr="0091365F">
              <w:rPr>
                <w:b/>
                <w:sz w:val="20"/>
                <w:szCs w:val="20"/>
                <w:lang w:val="uk-UA"/>
              </w:rPr>
              <w:t>№ з/п</w:t>
            </w:r>
          </w:p>
        </w:tc>
        <w:tc>
          <w:tcPr>
            <w:tcW w:w="703" w:type="pct"/>
            <w:tcBorders>
              <w:top w:val="outset" w:sz="6" w:space="0" w:color="auto"/>
              <w:left w:val="outset" w:sz="6" w:space="0" w:color="auto"/>
              <w:bottom w:val="outset" w:sz="6" w:space="0" w:color="auto"/>
              <w:right w:val="outset" w:sz="6" w:space="0" w:color="auto"/>
            </w:tcBorders>
            <w:vAlign w:val="center"/>
          </w:tcPr>
          <w:p w:rsidR="00265E90" w:rsidRPr="00425941" w:rsidRDefault="00425941" w:rsidP="0091365F">
            <w:pPr>
              <w:pStyle w:val="a3"/>
              <w:jc w:val="center"/>
              <w:rPr>
                <w:b/>
                <w:sz w:val="20"/>
                <w:szCs w:val="20"/>
                <w:lang w:val="uk-UA"/>
              </w:rPr>
            </w:pPr>
            <w:r w:rsidRPr="00425941">
              <w:rPr>
                <w:b/>
                <w:sz w:val="20"/>
                <w:szCs w:val="20"/>
              </w:rPr>
              <w:t>Дата отримання інформації від  Центрального депозитарію цінних паперів або акціонера</w:t>
            </w:r>
          </w:p>
        </w:tc>
        <w:tc>
          <w:tcPr>
            <w:tcW w:w="1216" w:type="pct"/>
            <w:tcBorders>
              <w:top w:val="outset" w:sz="6" w:space="0" w:color="auto"/>
              <w:left w:val="outset" w:sz="6" w:space="0" w:color="auto"/>
              <w:bottom w:val="outset" w:sz="6" w:space="0" w:color="auto"/>
              <w:right w:val="outset" w:sz="6" w:space="0" w:color="auto"/>
            </w:tcBorders>
            <w:vAlign w:val="center"/>
          </w:tcPr>
          <w:p w:rsidR="00265E90" w:rsidRPr="00425941" w:rsidRDefault="00425941" w:rsidP="0091365F">
            <w:pPr>
              <w:pStyle w:val="a3"/>
              <w:jc w:val="center"/>
              <w:rPr>
                <w:b/>
                <w:sz w:val="20"/>
                <w:szCs w:val="20"/>
                <w:lang w:val="uk-UA"/>
              </w:rPr>
            </w:pPr>
            <w:r w:rsidRPr="00425941">
              <w:rPr>
                <w:b/>
                <w:sz w:val="20"/>
                <w:szCs w:val="20"/>
                <w:lang w:val="uk-UA"/>
              </w:rPr>
              <w:t>Прізвище, ім'я, по батькові фізичної особи або найменування юридичної особи власника (власників) акцій</w:t>
            </w:r>
          </w:p>
        </w:tc>
        <w:tc>
          <w:tcPr>
            <w:tcW w:w="1420" w:type="pct"/>
            <w:tcBorders>
              <w:top w:val="outset" w:sz="6" w:space="0" w:color="auto"/>
              <w:left w:val="outset" w:sz="6" w:space="0" w:color="auto"/>
              <w:bottom w:val="outset" w:sz="6" w:space="0" w:color="auto"/>
              <w:right w:val="outset" w:sz="6" w:space="0" w:color="auto"/>
            </w:tcBorders>
            <w:vAlign w:val="center"/>
          </w:tcPr>
          <w:p w:rsidR="00265E90" w:rsidRPr="00425941" w:rsidRDefault="00425941" w:rsidP="0091365F">
            <w:pPr>
              <w:pStyle w:val="a3"/>
              <w:jc w:val="center"/>
              <w:rPr>
                <w:b/>
                <w:sz w:val="20"/>
                <w:szCs w:val="20"/>
                <w:lang w:val="uk-UA"/>
              </w:rPr>
            </w:pPr>
            <w:r w:rsidRPr="00425941">
              <w:rPr>
                <w:b/>
                <w:sz w:val="20"/>
                <w:szCs w:val="20"/>
                <w:lang w:val="uk-UA"/>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653" w:type="pct"/>
            <w:tcBorders>
              <w:top w:val="outset" w:sz="6" w:space="0" w:color="auto"/>
              <w:left w:val="outset" w:sz="6" w:space="0" w:color="auto"/>
              <w:bottom w:val="outset" w:sz="6" w:space="0" w:color="auto"/>
              <w:right w:val="outset" w:sz="6" w:space="0" w:color="auto"/>
            </w:tcBorders>
            <w:vAlign w:val="center"/>
          </w:tcPr>
          <w:p w:rsidR="00265E90" w:rsidRPr="0091365F" w:rsidRDefault="00265E90" w:rsidP="0091365F">
            <w:pPr>
              <w:pStyle w:val="a3"/>
              <w:jc w:val="center"/>
              <w:rPr>
                <w:b/>
                <w:sz w:val="20"/>
                <w:szCs w:val="20"/>
                <w:lang w:val="uk-UA"/>
              </w:rPr>
            </w:pPr>
            <w:r w:rsidRPr="0091365F">
              <w:rPr>
                <w:b/>
                <w:sz w:val="20"/>
                <w:szCs w:val="20"/>
                <w:lang w:val="uk-UA"/>
              </w:rPr>
              <w:t>Розмір частки акціонера до зміни</w:t>
            </w:r>
            <w:r w:rsidRPr="0091365F">
              <w:rPr>
                <w:b/>
                <w:sz w:val="20"/>
                <w:szCs w:val="20"/>
                <w:lang w:val="uk-UA"/>
              </w:rPr>
              <w:br/>
              <w:t>(у відсотках до статутного капіталу)</w:t>
            </w:r>
          </w:p>
        </w:tc>
        <w:tc>
          <w:tcPr>
            <w:tcW w:w="656" w:type="pct"/>
            <w:tcBorders>
              <w:top w:val="outset" w:sz="6" w:space="0" w:color="auto"/>
              <w:left w:val="outset" w:sz="6" w:space="0" w:color="auto"/>
              <w:bottom w:val="outset" w:sz="6" w:space="0" w:color="auto"/>
              <w:right w:val="outset" w:sz="6" w:space="0" w:color="auto"/>
            </w:tcBorders>
            <w:vAlign w:val="center"/>
          </w:tcPr>
          <w:p w:rsidR="00265E90" w:rsidRPr="0091365F" w:rsidRDefault="00265E90" w:rsidP="0091365F">
            <w:pPr>
              <w:pStyle w:val="a3"/>
              <w:jc w:val="center"/>
              <w:rPr>
                <w:b/>
                <w:sz w:val="20"/>
                <w:szCs w:val="20"/>
                <w:lang w:val="uk-UA"/>
              </w:rPr>
            </w:pPr>
            <w:r w:rsidRPr="0091365F">
              <w:rPr>
                <w:b/>
                <w:sz w:val="20"/>
                <w:szCs w:val="20"/>
                <w:lang w:val="uk-UA"/>
              </w:rPr>
              <w:t>Розмір частки акціонера після зміни</w:t>
            </w:r>
            <w:r w:rsidRPr="0091365F">
              <w:rPr>
                <w:b/>
                <w:sz w:val="20"/>
                <w:szCs w:val="20"/>
                <w:lang w:val="uk-UA"/>
              </w:rPr>
              <w:br/>
              <w:t>(у відсотках до статутного капіталу)</w:t>
            </w:r>
          </w:p>
        </w:tc>
      </w:tr>
      <w:tr w:rsidR="00265E90" w:rsidRPr="00E97352">
        <w:tc>
          <w:tcPr>
            <w:tcW w:w="352" w:type="pct"/>
            <w:tcBorders>
              <w:top w:val="outset" w:sz="6" w:space="0" w:color="auto"/>
              <w:left w:val="outset" w:sz="6" w:space="0" w:color="auto"/>
              <w:bottom w:val="outset" w:sz="6" w:space="0" w:color="auto"/>
              <w:right w:val="outset" w:sz="6" w:space="0" w:color="auto"/>
            </w:tcBorders>
            <w:vAlign w:val="center"/>
          </w:tcPr>
          <w:p w:rsidR="00265E90" w:rsidRPr="0091365F" w:rsidRDefault="00265E90" w:rsidP="0091365F">
            <w:pPr>
              <w:pStyle w:val="a3"/>
              <w:jc w:val="center"/>
              <w:rPr>
                <w:b/>
                <w:sz w:val="20"/>
                <w:szCs w:val="20"/>
                <w:lang w:val="uk-UA"/>
              </w:rPr>
            </w:pPr>
            <w:r w:rsidRPr="0091365F">
              <w:rPr>
                <w:b/>
                <w:sz w:val="20"/>
                <w:szCs w:val="20"/>
                <w:lang w:val="uk-UA"/>
              </w:rPr>
              <w:t>1</w:t>
            </w:r>
          </w:p>
        </w:tc>
        <w:tc>
          <w:tcPr>
            <w:tcW w:w="703" w:type="pct"/>
            <w:tcBorders>
              <w:top w:val="outset" w:sz="6" w:space="0" w:color="auto"/>
              <w:left w:val="outset" w:sz="6" w:space="0" w:color="auto"/>
              <w:bottom w:val="outset" w:sz="6" w:space="0" w:color="auto"/>
              <w:right w:val="outset" w:sz="6" w:space="0" w:color="auto"/>
            </w:tcBorders>
            <w:vAlign w:val="center"/>
          </w:tcPr>
          <w:p w:rsidR="00265E90" w:rsidRPr="0091365F" w:rsidRDefault="00FE4B87" w:rsidP="00FE4B87">
            <w:pPr>
              <w:pStyle w:val="a3"/>
              <w:jc w:val="center"/>
              <w:rPr>
                <w:b/>
                <w:sz w:val="20"/>
                <w:szCs w:val="20"/>
                <w:lang w:val="uk-UA"/>
              </w:rPr>
            </w:pPr>
            <w:r>
              <w:rPr>
                <w:b/>
                <w:sz w:val="20"/>
                <w:szCs w:val="20"/>
                <w:lang w:val="en-US"/>
              </w:rPr>
              <w:t>2</w:t>
            </w:r>
          </w:p>
        </w:tc>
        <w:tc>
          <w:tcPr>
            <w:tcW w:w="1216" w:type="pct"/>
            <w:tcBorders>
              <w:top w:val="outset" w:sz="6" w:space="0" w:color="auto"/>
              <w:left w:val="outset" w:sz="6" w:space="0" w:color="auto"/>
              <w:bottom w:val="outset" w:sz="6" w:space="0" w:color="auto"/>
              <w:right w:val="outset" w:sz="6" w:space="0" w:color="auto"/>
            </w:tcBorders>
            <w:vAlign w:val="center"/>
          </w:tcPr>
          <w:p w:rsidR="00265E90" w:rsidRPr="00FE4B87" w:rsidRDefault="00FE4B87" w:rsidP="0091365F">
            <w:pPr>
              <w:pStyle w:val="a3"/>
              <w:jc w:val="center"/>
              <w:rPr>
                <w:b/>
                <w:sz w:val="20"/>
                <w:szCs w:val="20"/>
                <w:lang w:val="en-US"/>
              </w:rPr>
            </w:pPr>
            <w:r>
              <w:rPr>
                <w:b/>
                <w:sz w:val="20"/>
                <w:szCs w:val="20"/>
                <w:lang w:val="en-US"/>
              </w:rPr>
              <w:t>3</w:t>
            </w:r>
          </w:p>
        </w:tc>
        <w:tc>
          <w:tcPr>
            <w:tcW w:w="1420" w:type="pct"/>
            <w:tcBorders>
              <w:top w:val="outset" w:sz="6" w:space="0" w:color="auto"/>
              <w:left w:val="outset" w:sz="6" w:space="0" w:color="auto"/>
              <w:bottom w:val="outset" w:sz="6" w:space="0" w:color="auto"/>
              <w:right w:val="outset" w:sz="6" w:space="0" w:color="auto"/>
            </w:tcBorders>
            <w:vAlign w:val="center"/>
          </w:tcPr>
          <w:p w:rsidR="00265E90" w:rsidRPr="00FE4B87" w:rsidRDefault="00FE4B87" w:rsidP="0091365F">
            <w:pPr>
              <w:pStyle w:val="a3"/>
              <w:jc w:val="center"/>
              <w:rPr>
                <w:b/>
                <w:sz w:val="20"/>
                <w:szCs w:val="20"/>
                <w:lang w:val="en-US"/>
              </w:rPr>
            </w:pPr>
            <w:r>
              <w:rPr>
                <w:b/>
                <w:sz w:val="20"/>
                <w:szCs w:val="20"/>
                <w:lang w:val="en-US"/>
              </w:rPr>
              <w:t>4</w:t>
            </w:r>
          </w:p>
        </w:tc>
        <w:tc>
          <w:tcPr>
            <w:tcW w:w="653" w:type="pct"/>
            <w:tcBorders>
              <w:top w:val="outset" w:sz="6" w:space="0" w:color="auto"/>
              <w:left w:val="outset" w:sz="6" w:space="0" w:color="auto"/>
              <w:bottom w:val="outset" w:sz="6" w:space="0" w:color="auto"/>
              <w:right w:val="outset" w:sz="6" w:space="0" w:color="auto"/>
            </w:tcBorders>
            <w:vAlign w:val="center"/>
          </w:tcPr>
          <w:p w:rsidR="00265E90" w:rsidRPr="00FE4B87" w:rsidRDefault="00FE4B87" w:rsidP="0091365F">
            <w:pPr>
              <w:pStyle w:val="a3"/>
              <w:jc w:val="center"/>
              <w:rPr>
                <w:b/>
                <w:sz w:val="20"/>
                <w:szCs w:val="20"/>
                <w:lang w:val="en-US"/>
              </w:rPr>
            </w:pPr>
            <w:r>
              <w:rPr>
                <w:b/>
                <w:sz w:val="20"/>
                <w:szCs w:val="20"/>
                <w:lang w:val="en-US"/>
              </w:rPr>
              <w:t>5</w:t>
            </w:r>
          </w:p>
        </w:tc>
        <w:tc>
          <w:tcPr>
            <w:tcW w:w="656" w:type="pct"/>
            <w:tcBorders>
              <w:top w:val="outset" w:sz="6" w:space="0" w:color="auto"/>
              <w:left w:val="outset" w:sz="6" w:space="0" w:color="auto"/>
              <w:bottom w:val="outset" w:sz="6" w:space="0" w:color="auto"/>
              <w:right w:val="outset" w:sz="6" w:space="0" w:color="auto"/>
            </w:tcBorders>
            <w:vAlign w:val="center"/>
          </w:tcPr>
          <w:p w:rsidR="00265E90" w:rsidRPr="00FE4B87" w:rsidRDefault="00FE4B87" w:rsidP="0091365F">
            <w:pPr>
              <w:pStyle w:val="a3"/>
              <w:jc w:val="center"/>
              <w:rPr>
                <w:b/>
                <w:sz w:val="20"/>
                <w:szCs w:val="20"/>
                <w:lang w:val="en-US"/>
              </w:rPr>
            </w:pPr>
            <w:r>
              <w:rPr>
                <w:b/>
                <w:sz w:val="20"/>
                <w:szCs w:val="20"/>
                <w:lang w:val="en-US"/>
              </w:rPr>
              <w:t>6</w:t>
            </w:r>
          </w:p>
        </w:tc>
      </w:tr>
      <w:tr w:rsidR="00150E58" w:rsidRPr="00150E58">
        <w:tc>
          <w:tcPr>
            <w:tcW w:w="352"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uk-UA"/>
              </w:rPr>
            </w:pPr>
            <w:r>
              <w:rPr>
                <w:sz w:val="20"/>
                <w:szCs w:val="20"/>
                <w:lang w:val="uk-UA"/>
              </w:rPr>
              <w:t>1</w:t>
            </w:r>
          </w:p>
        </w:tc>
        <w:tc>
          <w:tcPr>
            <w:tcW w:w="703"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FE4B87">
            <w:pPr>
              <w:pStyle w:val="a3"/>
              <w:jc w:val="center"/>
              <w:rPr>
                <w:sz w:val="20"/>
                <w:szCs w:val="20"/>
                <w:lang w:val="en-US"/>
              </w:rPr>
            </w:pPr>
            <w:r>
              <w:rPr>
                <w:sz w:val="20"/>
                <w:szCs w:val="20"/>
                <w:lang w:val="en-US"/>
              </w:rPr>
              <w:t>10.03.2021</w:t>
            </w:r>
          </w:p>
        </w:tc>
        <w:tc>
          <w:tcPr>
            <w:tcW w:w="1216"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ТОВАРИСТВО З ОБМЕЖЕНОЮ ВІДПОВІДАЛЬНІСТЮ "СХІД ФІНАНС"</w:t>
            </w:r>
          </w:p>
        </w:tc>
        <w:tc>
          <w:tcPr>
            <w:tcW w:w="1420"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38421401</w:t>
            </w:r>
          </w:p>
        </w:tc>
        <w:tc>
          <w:tcPr>
            <w:tcW w:w="653"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7.357</w:t>
            </w:r>
          </w:p>
        </w:tc>
        <w:tc>
          <w:tcPr>
            <w:tcW w:w="656"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0.000</w:t>
            </w:r>
          </w:p>
        </w:tc>
      </w:tr>
      <w:tr w:rsidR="00150E58" w:rsidRPr="00150E58" w:rsidTr="00150E58">
        <w:tc>
          <w:tcPr>
            <w:tcW w:w="5000" w:type="pct"/>
            <w:gridSpan w:val="6"/>
            <w:tcBorders>
              <w:top w:val="outset" w:sz="6" w:space="0" w:color="auto"/>
              <w:left w:val="outset" w:sz="6" w:space="0" w:color="auto"/>
              <w:bottom w:val="outset" w:sz="6" w:space="0" w:color="auto"/>
              <w:right w:val="outset" w:sz="6" w:space="0" w:color="auto"/>
            </w:tcBorders>
            <w:vAlign w:val="center"/>
          </w:tcPr>
          <w:p w:rsidR="00150E58" w:rsidRPr="00150E58" w:rsidRDefault="00150E58" w:rsidP="00150E58">
            <w:pPr>
              <w:pStyle w:val="a3"/>
              <w:rPr>
                <w:b/>
                <w:sz w:val="20"/>
                <w:szCs w:val="20"/>
                <w:lang w:val="en-US"/>
              </w:rPr>
            </w:pPr>
            <w:r>
              <w:rPr>
                <w:b/>
                <w:sz w:val="20"/>
                <w:szCs w:val="20"/>
                <w:lang w:val="uk-UA"/>
              </w:rPr>
              <w:t>Зміст інформації</w:t>
            </w:r>
          </w:p>
        </w:tc>
      </w:tr>
      <w:tr w:rsidR="00150E58" w:rsidRPr="00150E58" w:rsidTr="00150E58">
        <w:tc>
          <w:tcPr>
            <w:tcW w:w="5000" w:type="pct"/>
            <w:gridSpan w:val="6"/>
            <w:tcBorders>
              <w:top w:val="outset" w:sz="6" w:space="0" w:color="auto"/>
              <w:left w:val="outset" w:sz="6" w:space="0" w:color="auto"/>
              <w:bottom w:val="outset" w:sz="6" w:space="0" w:color="auto"/>
              <w:right w:val="outset" w:sz="6" w:space="0" w:color="auto"/>
            </w:tcBorders>
          </w:tcPr>
          <w:p w:rsidR="00150E58" w:rsidRDefault="00150E58" w:rsidP="00150E58">
            <w:pPr>
              <w:pStyle w:val="a3"/>
              <w:rPr>
                <w:sz w:val="20"/>
                <w:szCs w:val="20"/>
                <w:lang w:val="uk-UA"/>
              </w:rPr>
            </w:pPr>
            <w:r>
              <w:rPr>
                <w:sz w:val="20"/>
                <w:szCs w:val="20"/>
                <w:lang w:val="uk-UA"/>
              </w:rPr>
              <w:t>Згідно переліку акціонерів, отриманого 10.03.2021 року від ПАТ "Національний депозитарій України", відбулася зміна акціонерів, яким належать голосуючі акції, розмір пакета яких стає більшим, меншим або рівним пороговому значенню пакета акцій ,  у зв'язку з чим:</w:t>
            </w:r>
          </w:p>
          <w:p w:rsidR="00150E58" w:rsidRDefault="00150E58" w:rsidP="00150E58">
            <w:pPr>
              <w:pStyle w:val="a3"/>
              <w:rPr>
                <w:sz w:val="20"/>
                <w:szCs w:val="20"/>
                <w:lang w:val="uk-UA"/>
              </w:rPr>
            </w:pPr>
            <w:r>
              <w:rPr>
                <w:sz w:val="20"/>
                <w:szCs w:val="20"/>
                <w:lang w:val="uk-UA"/>
              </w:rPr>
              <w:t xml:space="preserve">1) пакет Власника акцій - юридичної особи - Товариства з обмеженою відповідальністю "СХІД ФІНАНС" (код ЄДРПОУ 38421401)  зменшився.                                                                                                                                                                                               </w:t>
            </w:r>
          </w:p>
          <w:p w:rsidR="00150E58" w:rsidRDefault="00150E58" w:rsidP="00150E58">
            <w:pPr>
              <w:pStyle w:val="a3"/>
              <w:rPr>
                <w:sz w:val="20"/>
                <w:szCs w:val="20"/>
                <w:lang w:val="uk-UA"/>
              </w:rPr>
            </w:pPr>
            <w:r>
              <w:rPr>
                <w:sz w:val="20"/>
                <w:szCs w:val="20"/>
                <w:lang w:val="uk-UA"/>
              </w:rPr>
              <w:t>Дiя (набуття або вiдчуження) та яким чином (прямо або опосередковано) вона вiдбувалась - пряме вiдчуження.</w:t>
            </w:r>
          </w:p>
          <w:p w:rsidR="00150E58" w:rsidRDefault="00150E58" w:rsidP="00150E58">
            <w:pPr>
              <w:pStyle w:val="a3"/>
              <w:rPr>
                <w:sz w:val="20"/>
                <w:szCs w:val="20"/>
                <w:lang w:val="uk-UA"/>
              </w:rPr>
            </w:pPr>
            <w:r>
              <w:rPr>
                <w:sz w:val="20"/>
                <w:szCs w:val="20"/>
                <w:lang w:val="uk-UA"/>
              </w:rPr>
              <w:t>Розмір частки власника акцій в загальній кількості голосуючих акцій до вiдчуження права власності на такий пакет акцій (підсумковий пакет голосуючих акцій) складав - 7,357% (47 258 654 штук голосуючих акцій).</w:t>
            </w:r>
          </w:p>
          <w:p w:rsidR="00150E58" w:rsidRDefault="00150E58" w:rsidP="00150E58">
            <w:pPr>
              <w:pStyle w:val="a3"/>
              <w:rPr>
                <w:sz w:val="20"/>
                <w:szCs w:val="20"/>
                <w:lang w:val="uk-UA"/>
              </w:rPr>
            </w:pPr>
            <w:r>
              <w:rPr>
                <w:sz w:val="20"/>
                <w:szCs w:val="20"/>
                <w:lang w:val="uk-UA"/>
              </w:rPr>
              <w:t xml:space="preserve"> Розмір частки власника акцій в загальній кількості голосуючих акцій після вiдчуження права власності на такий пакет акцій (підсумковий пакет голосуючих акцій) складає - 0% (0 штук голосуючих акцій).</w:t>
            </w:r>
          </w:p>
          <w:p w:rsidR="00150E58" w:rsidRDefault="00150E58" w:rsidP="00150E58">
            <w:pPr>
              <w:pStyle w:val="a3"/>
              <w:rPr>
                <w:sz w:val="20"/>
                <w:szCs w:val="20"/>
                <w:lang w:val="uk-UA"/>
              </w:rPr>
            </w:pPr>
            <w:r>
              <w:rPr>
                <w:sz w:val="20"/>
                <w:szCs w:val="20"/>
                <w:lang w:val="uk-UA"/>
              </w:rPr>
              <w:t xml:space="preserve"> 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 вiдомостi вiдсутнi. </w:t>
            </w:r>
          </w:p>
          <w:p w:rsidR="00150E58" w:rsidRDefault="00150E58" w:rsidP="00150E58">
            <w:pPr>
              <w:pStyle w:val="a3"/>
              <w:rPr>
                <w:sz w:val="20"/>
                <w:szCs w:val="20"/>
                <w:lang w:val="uk-UA"/>
              </w:rPr>
            </w:pPr>
            <w:r>
              <w:rPr>
                <w:sz w:val="20"/>
                <w:szCs w:val="20"/>
                <w:lang w:val="uk-UA"/>
              </w:rPr>
              <w:t>Дата, в яку пороговi значення було досягнуто або перетнуто (за наявностi) - вiдомостi вiдсутнi.</w:t>
            </w:r>
          </w:p>
          <w:p w:rsidR="00150E58" w:rsidRDefault="00150E58" w:rsidP="00150E58">
            <w:pPr>
              <w:pStyle w:val="a3"/>
              <w:rPr>
                <w:sz w:val="20"/>
                <w:szCs w:val="20"/>
                <w:lang w:val="uk-UA"/>
              </w:rPr>
            </w:pPr>
          </w:p>
          <w:p w:rsidR="00150E58" w:rsidRDefault="00150E58" w:rsidP="00150E58">
            <w:pPr>
              <w:pStyle w:val="a3"/>
              <w:rPr>
                <w:sz w:val="20"/>
                <w:szCs w:val="20"/>
                <w:lang w:val="uk-UA"/>
              </w:rPr>
            </w:pPr>
          </w:p>
          <w:p w:rsidR="00150E58" w:rsidRDefault="00150E58" w:rsidP="00150E58">
            <w:pPr>
              <w:pStyle w:val="a3"/>
              <w:rPr>
                <w:sz w:val="20"/>
                <w:szCs w:val="20"/>
                <w:lang w:val="uk-UA"/>
              </w:rPr>
            </w:pPr>
          </w:p>
          <w:p w:rsidR="00150E58" w:rsidRDefault="00150E58" w:rsidP="00150E58">
            <w:pPr>
              <w:pStyle w:val="a3"/>
              <w:rPr>
                <w:sz w:val="20"/>
                <w:szCs w:val="20"/>
                <w:lang w:val="uk-UA"/>
              </w:rPr>
            </w:pPr>
          </w:p>
          <w:p w:rsidR="00150E58" w:rsidRPr="00150E58" w:rsidRDefault="00150E58" w:rsidP="00150E58">
            <w:pPr>
              <w:pStyle w:val="a3"/>
              <w:rPr>
                <w:sz w:val="20"/>
                <w:szCs w:val="20"/>
                <w:lang w:val="en-US"/>
              </w:rPr>
            </w:pPr>
          </w:p>
        </w:tc>
      </w:tr>
      <w:tr w:rsidR="00150E58" w:rsidRPr="00150E58">
        <w:tc>
          <w:tcPr>
            <w:tcW w:w="352"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uk-UA"/>
              </w:rPr>
            </w:pPr>
            <w:r>
              <w:rPr>
                <w:sz w:val="20"/>
                <w:szCs w:val="20"/>
                <w:lang w:val="uk-UA"/>
              </w:rPr>
              <w:lastRenderedPageBreak/>
              <w:t>2</w:t>
            </w:r>
          </w:p>
        </w:tc>
        <w:tc>
          <w:tcPr>
            <w:tcW w:w="703"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FE4B87">
            <w:pPr>
              <w:pStyle w:val="a3"/>
              <w:jc w:val="center"/>
              <w:rPr>
                <w:sz w:val="20"/>
                <w:szCs w:val="20"/>
                <w:lang w:val="en-US"/>
              </w:rPr>
            </w:pPr>
            <w:r>
              <w:rPr>
                <w:sz w:val="20"/>
                <w:szCs w:val="20"/>
                <w:lang w:val="en-US"/>
              </w:rPr>
              <w:t>10.03.2021</w:t>
            </w:r>
          </w:p>
        </w:tc>
        <w:tc>
          <w:tcPr>
            <w:tcW w:w="1216"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ТОВАРИСТВО З ОБМЕЖЕНОЮ ВІДПОВІДАЛЬНІСТЮ "РЕНЕСАНС - НЕРУХОМІСТЬ"</w:t>
            </w:r>
          </w:p>
        </w:tc>
        <w:tc>
          <w:tcPr>
            <w:tcW w:w="1420"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33786082</w:t>
            </w:r>
          </w:p>
        </w:tc>
        <w:tc>
          <w:tcPr>
            <w:tcW w:w="653"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0.000</w:t>
            </w:r>
          </w:p>
        </w:tc>
        <w:tc>
          <w:tcPr>
            <w:tcW w:w="656" w:type="pct"/>
            <w:tcBorders>
              <w:top w:val="outset" w:sz="6" w:space="0" w:color="auto"/>
              <w:left w:val="outset" w:sz="6" w:space="0" w:color="auto"/>
              <w:bottom w:val="outset" w:sz="6" w:space="0" w:color="auto"/>
              <w:right w:val="outset" w:sz="6" w:space="0" w:color="auto"/>
            </w:tcBorders>
            <w:vAlign w:val="center"/>
          </w:tcPr>
          <w:p w:rsidR="00150E58" w:rsidRPr="00150E58" w:rsidRDefault="00150E58" w:rsidP="0091365F">
            <w:pPr>
              <w:pStyle w:val="a3"/>
              <w:jc w:val="center"/>
              <w:rPr>
                <w:sz w:val="20"/>
                <w:szCs w:val="20"/>
                <w:lang w:val="en-US"/>
              </w:rPr>
            </w:pPr>
            <w:r>
              <w:rPr>
                <w:sz w:val="20"/>
                <w:szCs w:val="20"/>
                <w:lang w:val="en-US"/>
              </w:rPr>
              <w:t>7.784</w:t>
            </w:r>
          </w:p>
        </w:tc>
      </w:tr>
      <w:tr w:rsidR="00150E58" w:rsidRPr="00150E58" w:rsidTr="00150E58">
        <w:tc>
          <w:tcPr>
            <w:tcW w:w="5000" w:type="pct"/>
            <w:gridSpan w:val="6"/>
            <w:tcBorders>
              <w:top w:val="outset" w:sz="6" w:space="0" w:color="auto"/>
              <w:left w:val="outset" w:sz="6" w:space="0" w:color="auto"/>
              <w:bottom w:val="outset" w:sz="6" w:space="0" w:color="auto"/>
              <w:right w:val="outset" w:sz="6" w:space="0" w:color="auto"/>
            </w:tcBorders>
            <w:vAlign w:val="center"/>
          </w:tcPr>
          <w:p w:rsidR="00150E58" w:rsidRPr="00150E58" w:rsidRDefault="00150E58" w:rsidP="00150E58">
            <w:pPr>
              <w:pStyle w:val="a3"/>
              <w:rPr>
                <w:b/>
                <w:sz w:val="20"/>
                <w:szCs w:val="20"/>
                <w:lang w:val="en-US"/>
              </w:rPr>
            </w:pPr>
            <w:r>
              <w:rPr>
                <w:b/>
                <w:sz w:val="20"/>
                <w:szCs w:val="20"/>
                <w:lang w:val="uk-UA"/>
              </w:rPr>
              <w:t>Зміст інформації</w:t>
            </w:r>
          </w:p>
        </w:tc>
      </w:tr>
      <w:tr w:rsidR="00150E58" w:rsidRPr="00150E58" w:rsidTr="00150E58">
        <w:tc>
          <w:tcPr>
            <w:tcW w:w="5000" w:type="pct"/>
            <w:gridSpan w:val="6"/>
            <w:tcBorders>
              <w:top w:val="outset" w:sz="6" w:space="0" w:color="auto"/>
              <w:left w:val="outset" w:sz="6" w:space="0" w:color="auto"/>
              <w:bottom w:val="outset" w:sz="6" w:space="0" w:color="auto"/>
              <w:right w:val="outset" w:sz="6" w:space="0" w:color="auto"/>
            </w:tcBorders>
          </w:tcPr>
          <w:p w:rsidR="00150E58" w:rsidRDefault="00150E58" w:rsidP="00150E58">
            <w:pPr>
              <w:pStyle w:val="a3"/>
              <w:rPr>
                <w:sz w:val="20"/>
                <w:szCs w:val="20"/>
                <w:lang w:val="uk-UA"/>
              </w:rPr>
            </w:pPr>
            <w:r>
              <w:rPr>
                <w:sz w:val="20"/>
                <w:szCs w:val="20"/>
                <w:lang w:val="uk-UA"/>
              </w:rPr>
              <w:t>2) пакет Власника акцій - юридичної особи - Товариства з обмеженою відповідальністю "РЕНЕСАНС - НЕРУХОМІСТЬ"  (код ЄДРПОУ 33786082)  збільшився.                                                                                                                                                                                               Дiя (набуття або вiдчуження) та яким чином (прямо або опосередковано) вона вiдбувалась - пряме набуття.</w:t>
            </w:r>
          </w:p>
          <w:p w:rsidR="00150E58" w:rsidRDefault="00150E58" w:rsidP="00150E58">
            <w:pPr>
              <w:pStyle w:val="a3"/>
              <w:rPr>
                <w:sz w:val="20"/>
                <w:szCs w:val="20"/>
                <w:lang w:val="uk-UA"/>
              </w:rPr>
            </w:pPr>
            <w:r>
              <w:rPr>
                <w:sz w:val="20"/>
                <w:szCs w:val="20"/>
                <w:lang w:val="uk-UA"/>
              </w:rPr>
              <w:t xml:space="preserve"> Розмір частки власника акцій в загальній кількості голосуючих акцій до набуття права власності на такий пакет акцій (підсумковий пакет голосуючих акцій) складає - 0 (0 штук голосуючих акцій)</w:t>
            </w:r>
          </w:p>
          <w:p w:rsidR="00150E58" w:rsidRDefault="00150E58" w:rsidP="00150E58">
            <w:pPr>
              <w:pStyle w:val="a3"/>
              <w:rPr>
                <w:sz w:val="20"/>
                <w:szCs w:val="20"/>
                <w:lang w:val="uk-UA"/>
              </w:rPr>
            </w:pPr>
            <w:r>
              <w:rPr>
                <w:sz w:val="20"/>
                <w:szCs w:val="20"/>
                <w:lang w:val="uk-UA"/>
              </w:rPr>
              <w:t xml:space="preserve">Розмір частки власника акцій в загальній кількості голосуючих акцій після набуття права власності на такий пакет акцій (підсумковий пакет голосуючих акцій) складає 7,784% (50 000 000 штук голосуючих акцій). </w:t>
            </w:r>
          </w:p>
          <w:p w:rsidR="00150E58" w:rsidRDefault="00150E58" w:rsidP="00150E58">
            <w:pPr>
              <w:pStyle w:val="a3"/>
              <w:rPr>
                <w:sz w:val="20"/>
                <w:szCs w:val="20"/>
                <w:lang w:val="uk-UA"/>
              </w:rPr>
            </w:pPr>
            <w:r>
              <w:rPr>
                <w:sz w:val="20"/>
                <w:szCs w:val="20"/>
                <w:lang w:val="uk-UA"/>
              </w:rPr>
              <w:t xml:space="preserve"> 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 вiдомостi вiдсутнi.</w:t>
            </w:r>
          </w:p>
          <w:p w:rsidR="00150E58" w:rsidRDefault="00150E58" w:rsidP="00150E58">
            <w:pPr>
              <w:pStyle w:val="a3"/>
              <w:rPr>
                <w:sz w:val="20"/>
                <w:szCs w:val="20"/>
                <w:lang w:val="uk-UA"/>
              </w:rPr>
            </w:pPr>
            <w:r>
              <w:rPr>
                <w:sz w:val="20"/>
                <w:szCs w:val="20"/>
                <w:lang w:val="uk-UA"/>
              </w:rPr>
              <w:t xml:space="preserve"> Дата, в яку пороговi значення було досягнуто або перетнуто (за наявностi) - вiдомостi вiдсутнi.  </w:t>
            </w:r>
          </w:p>
          <w:p w:rsidR="00150E58" w:rsidRDefault="00150E58" w:rsidP="00150E58">
            <w:pPr>
              <w:pStyle w:val="a3"/>
              <w:rPr>
                <w:sz w:val="20"/>
                <w:szCs w:val="20"/>
                <w:lang w:val="uk-UA"/>
              </w:rPr>
            </w:pPr>
          </w:p>
          <w:p w:rsidR="00150E58" w:rsidRDefault="00150E58" w:rsidP="00150E58">
            <w:pPr>
              <w:pStyle w:val="a3"/>
              <w:rPr>
                <w:sz w:val="20"/>
                <w:szCs w:val="20"/>
                <w:lang w:val="uk-UA"/>
              </w:rPr>
            </w:pPr>
          </w:p>
          <w:p w:rsidR="00150E58" w:rsidRDefault="00150E58" w:rsidP="00150E58">
            <w:pPr>
              <w:pStyle w:val="a3"/>
              <w:rPr>
                <w:sz w:val="20"/>
                <w:szCs w:val="20"/>
                <w:lang w:val="uk-UA"/>
              </w:rPr>
            </w:pPr>
          </w:p>
          <w:p w:rsidR="00150E58" w:rsidRPr="00150E58" w:rsidRDefault="00150E58" w:rsidP="00150E58">
            <w:pPr>
              <w:pStyle w:val="a3"/>
              <w:rPr>
                <w:sz w:val="20"/>
                <w:szCs w:val="20"/>
                <w:lang w:val="en-US"/>
              </w:rPr>
            </w:pPr>
          </w:p>
        </w:tc>
      </w:tr>
    </w:tbl>
    <w:p w:rsidR="004E5FF5" w:rsidRDefault="004E5FF5"/>
    <w:sectPr w:rsidR="004E5FF5" w:rsidSect="00150E58">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8"/>
    <w:rsid w:val="00150E58"/>
    <w:rsid w:val="0022295C"/>
    <w:rsid w:val="00265E90"/>
    <w:rsid w:val="00425941"/>
    <w:rsid w:val="004E5FF5"/>
    <w:rsid w:val="0060200C"/>
    <w:rsid w:val="00727766"/>
    <w:rsid w:val="0091365F"/>
    <w:rsid w:val="00C458BB"/>
    <w:rsid w:val="00D82A7E"/>
    <w:rsid w:val="00DB031E"/>
    <w:rsid w:val="00FE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8A3B4-8F86-41FE-A4FE-3C436059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95C"/>
    <w:rPr>
      <w:rFonts w:ascii="Times New Roman" w:eastAsia="Times New Roman" w:hAnsi="Times New Roman"/>
      <w:sz w:val="24"/>
      <w:szCs w:val="24"/>
      <w:lang w:val="ru-RU" w:eastAsia="ru-RU"/>
    </w:rPr>
  </w:style>
  <w:style w:type="paragraph" w:styleId="3">
    <w:name w:val="heading 3"/>
    <w:basedOn w:val="a"/>
    <w:link w:val="30"/>
    <w:uiPriority w:val="9"/>
    <w:qFormat/>
    <w:rsid w:val="0022295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22295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229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TA\DOCUMENTS\OI\DOTS\dodatok1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dodatok16</Template>
  <TotalTime>1</TotalTime>
  <Pages>2</Pages>
  <Words>594</Words>
  <Characters>3388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cp:lastModifiedBy>Sveta</cp:lastModifiedBy>
  <cp:revision>2</cp:revision>
  <dcterms:created xsi:type="dcterms:W3CDTF">2021-03-10T13:18:00Z</dcterms:created>
  <dcterms:modified xsi:type="dcterms:W3CDTF">2021-03-10T13:18:00Z</dcterms:modified>
</cp:coreProperties>
</file>